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六十四、霸州市王庄子乡王泊村完全小学收支预算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669.50</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669.50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669.50</w:t>
            </w:r>
          </w:p>
        </w:tc>
        <w:tc>
          <w:tcPr>
            <w:tcW w:w="4535" w:type="dxa"/>
            <w:vAlign w:val="center"/>
          </w:tcPr>
          <w:p>
            <w:pPr>
              <w:pStyle w:val="26"/>
            </w:pPr>
            <w:r>
              <w:t>本年支出合计</w:t>
            </w:r>
          </w:p>
        </w:tc>
        <w:tc>
          <w:tcPr>
            <w:tcW w:w="2126" w:type="dxa"/>
            <w:vAlign w:val="center"/>
          </w:tcPr>
          <w:p>
            <w:pPr>
              <w:pStyle w:val="27"/>
            </w:pPr>
            <w:r>
              <w:t>669.50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669.50</w:t>
            </w:r>
          </w:p>
        </w:tc>
        <w:tc>
          <w:tcPr>
            <w:tcW w:w="4535" w:type="dxa"/>
            <w:vAlign w:val="center"/>
          </w:tcPr>
          <w:p>
            <w:pPr>
              <w:pStyle w:val="26"/>
            </w:pPr>
            <w:r>
              <w:t>支出总计</w:t>
            </w:r>
          </w:p>
        </w:tc>
        <w:tc>
          <w:tcPr>
            <w:tcW w:w="2126" w:type="dxa"/>
            <w:vAlign w:val="center"/>
          </w:tcPr>
          <w:p>
            <w:pPr>
              <w:pStyle w:val="27"/>
            </w:pPr>
            <w:r>
              <w:t>669.50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669.50</w:t>
            </w:r>
          </w:p>
        </w:tc>
        <w:tc>
          <w:tcPr>
            <w:tcW w:w="1134" w:type="dxa"/>
            <w:vAlign w:val="center"/>
          </w:tcPr>
          <w:p>
            <w:pPr>
              <w:pStyle w:val="27"/>
            </w:pPr>
            <w:r>
              <w:t>669.50</w:t>
            </w:r>
          </w:p>
        </w:tc>
        <w:tc>
          <w:tcPr>
            <w:tcW w:w="1134" w:type="dxa"/>
            <w:vAlign w:val="center"/>
          </w:tcPr>
          <w:p>
            <w:pPr>
              <w:pStyle w:val="27"/>
            </w:pPr>
            <w:r>
              <w:t>669.50</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669.50</w:t>
            </w:r>
          </w:p>
        </w:tc>
        <w:tc>
          <w:tcPr>
            <w:tcW w:w="1134" w:type="dxa"/>
            <w:vAlign w:val="center"/>
          </w:tcPr>
          <w:p>
            <w:pPr>
              <w:pStyle w:val="23"/>
            </w:pPr>
            <w:r>
              <w:t>669.50</w:t>
            </w:r>
          </w:p>
        </w:tc>
        <w:tc>
          <w:tcPr>
            <w:tcW w:w="1134" w:type="dxa"/>
            <w:vAlign w:val="center"/>
          </w:tcPr>
          <w:p>
            <w:pPr>
              <w:pStyle w:val="23"/>
            </w:pPr>
            <w:r>
              <w:t>669.50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669.50</w:t>
            </w:r>
          </w:p>
        </w:tc>
        <w:tc>
          <w:tcPr>
            <w:tcW w:w="1134" w:type="dxa"/>
            <w:vAlign w:val="center"/>
          </w:tcPr>
          <w:p>
            <w:pPr>
              <w:pStyle w:val="23"/>
            </w:pPr>
            <w:r>
              <w:t>669.50</w:t>
            </w:r>
          </w:p>
        </w:tc>
        <w:tc>
          <w:tcPr>
            <w:tcW w:w="1134" w:type="dxa"/>
            <w:vAlign w:val="center"/>
          </w:tcPr>
          <w:p>
            <w:pPr>
              <w:pStyle w:val="23"/>
            </w:pPr>
            <w:r>
              <w:t>669.50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33.88</w:t>
            </w:r>
          </w:p>
        </w:tc>
        <w:tc>
          <w:tcPr>
            <w:tcW w:w="1134" w:type="dxa"/>
            <w:vAlign w:val="center"/>
          </w:tcPr>
          <w:p>
            <w:pPr>
              <w:pStyle w:val="23"/>
            </w:pPr>
            <w:r>
              <w:t>33.88</w:t>
            </w:r>
          </w:p>
        </w:tc>
        <w:tc>
          <w:tcPr>
            <w:tcW w:w="1134" w:type="dxa"/>
            <w:vAlign w:val="center"/>
          </w:tcPr>
          <w:p>
            <w:pPr>
              <w:pStyle w:val="23"/>
            </w:pPr>
            <w:r>
              <w:t>33.88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635.62</w:t>
            </w:r>
          </w:p>
        </w:tc>
        <w:tc>
          <w:tcPr>
            <w:tcW w:w="1134" w:type="dxa"/>
            <w:vAlign w:val="center"/>
          </w:tcPr>
          <w:p>
            <w:pPr>
              <w:pStyle w:val="23"/>
            </w:pPr>
            <w:r>
              <w:t>635.62</w:t>
            </w:r>
          </w:p>
        </w:tc>
        <w:tc>
          <w:tcPr>
            <w:tcW w:w="1134" w:type="dxa"/>
            <w:vAlign w:val="center"/>
          </w:tcPr>
          <w:p>
            <w:pPr>
              <w:pStyle w:val="23"/>
            </w:pPr>
            <w:r>
              <w:t>635.62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669.50</w:t>
            </w:r>
          </w:p>
        </w:tc>
        <w:tc>
          <w:tcPr>
            <w:tcW w:w="1361" w:type="dxa"/>
            <w:vAlign w:val="center"/>
          </w:tcPr>
          <w:p>
            <w:pPr>
              <w:pStyle w:val="27"/>
            </w:pPr>
            <w:r>
              <w:t>535.23</w:t>
            </w:r>
          </w:p>
        </w:tc>
        <w:tc>
          <w:tcPr>
            <w:tcW w:w="1361" w:type="dxa"/>
            <w:vAlign w:val="center"/>
          </w:tcPr>
          <w:p>
            <w:pPr>
              <w:pStyle w:val="27"/>
            </w:pPr>
            <w:r>
              <w:t>134.27</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669.50</w:t>
            </w:r>
          </w:p>
        </w:tc>
        <w:tc>
          <w:tcPr>
            <w:tcW w:w="1361" w:type="dxa"/>
            <w:vAlign w:val="center"/>
          </w:tcPr>
          <w:p>
            <w:pPr>
              <w:pStyle w:val="23"/>
            </w:pPr>
            <w:r>
              <w:t>535.23</w:t>
            </w:r>
          </w:p>
        </w:tc>
        <w:tc>
          <w:tcPr>
            <w:tcW w:w="1361" w:type="dxa"/>
            <w:vAlign w:val="center"/>
          </w:tcPr>
          <w:p>
            <w:pPr>
              <w:pStyle w:val="23"/>
            </w:pPr>
            <w:r>
              <w:t>134.27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669.50</w:t>
            </w:r>
          </w:p>
        </w:tc>
        <w:tc>
          <w:tcPr>
            <w:tcW w:w="1361" w:type="dxa"/>
            <w:vAlign w:val="center"/>
          </w:tcPr>
          <w:p>
            <w:pPr>
              <w:pStyle w:val="23"/>
            </w:pPr>
            <w:r>
              <w:t>535.23</w:t>
            </w:r>
          </w:p>
        </w:tc>
        <w:tc>
          <w:tcPr>
            <w:tcW w:w="1361" w:type="dxa"/>
            <w:vAlign w:val="center"/>
          </w:tcPr>
          <w:p>
            <w:pPr>
              <w:pStyle w:val="23"/>
            </w:pPr>
            <w:r>
              <w:t>134.27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33.88</w:t>
            </w:r>
          </w:p>
        </w:tc>
        <w:tc>
          <w:tcPr>
            <w:tcW w:w="1361" w:type="dxa"/>
            <w:vAlign w:val="center"/>
          </w:tcPr>
          <w:p>
            <w:pPr>
              <w:pStyle w:val="23"/>
            </w:pPr>
            <w:r>
              <w:t>7.00</w:t>
            </w:r>
          </w:p>
        </w:tc>
        <w:tc>
          <w:tcPr>
            <w:tcW w:w="1361" w:type="dxa"/>
            <w:vAlign w:val="center"/>
          </w:tcPr>
          <w:p>
            <w:pPr>
              <w:pStyle w:val="23"/>
            </w:pPr>
            <w:r>
              <w:t>26.88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635.62</w:t>
            </w:r>
          </w:p>
        </w:tc>
        <w:tc>
          <w:tcPr>
            <w:tcW w:w="1361" w:type="dxa"/>
            <w:vAlign w:val="center"/>
          </w:tcPr>
          <w:p>
            <w:pPr>
              <w:pStyle w:val="23"/>
            </w:pPr>
            <w:r>
              <w:t>528.23</w:t>
            </w:r>
          </w:p>
        </w:tc>
        <w:tc>
          <w:tcPr>
            <w:tcW w:w="1361" w:type="dxa"/>
            <w:vAlign w:val="center"/>
          </w:tcPr>
          <w:p>
            <w:pPr>
              <w:pStyle w:val="23"/>
            </w:pPr>
            <w:r>
              <w:t>107.39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669.50</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669.50</w:t>
            </w:r>
          </w:p>
        </w:tc>
        <w:tc>
          <w:tcPr>
            <w:tcW w:w="1474" w:type="dxa"/>
            <w:vAlign w:val="center"/>
          </w:tcPr>
          <w:p>
            <w:pPr>
              <w:pStyle w:val="23"/>
            </w:pPr>
            <w:r>
              <w:t>669.50</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669.50</w:t>
            </w:r>
          </w:p>
        </w:tc>
        <w:tc>
          <w:tcPr>
            <w:tcW w:w="3402" w:type="dxa"/>
            <w:vAlign w:val="center"/>
          </w:tcPr>
          <w:p>
            <w:pPr>
              <w:pStyle w:val="26"/>
            </w:pPr>
            <w:r>
              <w:t>本年支出合计</w:t>
            </w:r>
          </w:p>
        </w:tc>
        <w:tc>
          <w:tcPr>
            <w:tcW w:w="1474" w:type="dxa"/>
            <w:vAlign w:val="center"/>
          </w:tcPr>
          <w:p>
            <w:pPr>
              <w:pStyle w:val="27"/>
            </w:pPr>
            <w:r>
              <w:t>669.50</w:t>
            </w:r>
          </w:p>
        </w:tc>
        <w:tc>
          <w:tcPr>
            <w:tcW w:w="1474" w:type="dxa"/>
            <w:vAlign w:val="center"/>
          </w:tcPr>
          <w:p>
            <w:pPr>
              <w:pStyle w:val="27"/>
            </w:pPr>
            <w:r>
              <w:t>669.50</w:t>
            </w:r>
          </w:p>
        </w:tc>
        <w:tc>
          <w:tcPr>
            <w:tcW w:w="1474" w:type="dxa"/>
            <w:vAlign w:val="center"/>
          </w:tcPr>
          <w:p>
            <w:pPr>
              <w:pStyle w:val="27"/>
            </w:pPr>
          </w:p>
        </w:tc>
        <w:tc>
          <w:tcPr>
            <w:tcW w:w="1474" w:type="dxa"/>
            <w:vAlign w:val="center"/>
          </w:tcPr>
          <w:p>
            <w:pPr>
              <w:pStyle w:val="2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669.50</w:t>
            </w:r>
          </w:p>
        </w:tc>
        <w:tc>
          <w:tcPr>
            <w:tcW w:w="3402" w:type="dxa"/>
            <w:vAlign w:val="center"/>
          </w:tcPr>
          <w:p>
            <w:pPr>
              <w:pStyle w:val="26"/>
            </w:pPr>
            <w:r>
              <w:t>支出总计</w:t>
            </w:r>
          </w:p>
        </w:tc>
        <w:tc>
          <w:tcPr>
            <w:tcW w:w="1474" w:type="dxa"/>
            <w:vAlign w:val="center"/>
          </w:tcPr>
          <w:p>
            <w:pPr>
              <w:pStyle w:val="27"/>
            </w:pPr>
            <w:r>
              <w:t>669.50</w:t>
            </w:r>
          </w:p>
        </w:tc>
        <w:tc>
          <w:tcPr>
            <w:tcW w:w="1474" w:type="dxa"/>
            <w:vAlign w:val="center"/>
          </w:tcPr>
          <w:p>
            <w:pPr>
              <w:pStyle w:val="27"/>
            </w:pPr>
            <w:r>
              <w:t>669.50</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669.50</w:t>
            </w:r>
          </w:p>
        </w:tc>
        <w:tc>
          <w:tcPr>
            <w:tcW w:w="2551" w:type="dxa"/>
            <w:vAlign w:val="center"/>
          </w:tcPr>
          <w:p>
            <w:pPr>
              <w:pStyle w:val="27"/>
            </w:pPr>
            <w:r>
              <w:t>535.23</w:t>
            </w:r>
          </w:p>
        </w:tc>
        <w:tc>
          <w:tcPr>
            <w:tcW w:w="2551" w:type="dxa"/>
            <w:vAlign w:val="center"/>
          </w:tcPr>
          <w:p>
            <w:pPr>
              <w:pStyle w:val="27"/>
            </w:pPr>
            <w:r>
              <w:t>134.27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669.50</w:t>
            </w:r>
          </w:p>
        </w:tc>
        <w:tc>
          <w:tcPr>
            <w:tcW w:w="2551" w:type="dxa"/>
            <w:vAlign w:val="center"/>
          </w:tcPr>
          <w:p>
            <w:pPr>
              <w:pStyle w:val="23"/>
            </w:pPr>
            <w:r>
              <w:t>535.23</w:t>
            </w:r>
          </w:p>
        </w:tc>
        <w:tc>
          <w:tcPr>
            <w:tcW w:w="2551" w:type="dxa"/>
            <w:vAlign w:val="center"/>
          </w:tcPr>
          <w:p>
            <w:pPr>
              <w:pStyle w:val="23"/>
            </w:pPr>
            <w:r>
              <w:t>134.27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669.50</w:t>
            </w:r>
          </w:p>
        </w:tc>
        <w:tc>
          <w:tcPr>
            <w:tcW w:w="2551" w:type="dxa"/>
            <w:vAlign w:val="center"/>
          </w:tcPr>
          <w:p>
            <w:pPr>
              <w:pStyle w:val="23"/>
            </w:pPr>
            <w:r>
              <w:t>535.23</w:t>
            </w:r>
          </w:p>
        </w:tc>
        <w:tc>
          <w:tcPr>
            <w:tcW w:w="2551" w:type="dxa"/>
            <w:vAlign w:val="center"/>
          </w:tcPr>
          <w:p>
            <w:pPr>
              <w:pStyle w:val="23"/>
            </w:pPr>
            <w:r>
              <w:t>134.27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33.88</w:t>
            </w:r>
          </w:p>
        </w:tc>
        <w:tc>
          <w:tcPr>
            <w:tcW w:w="2551" w:type="dxa"/>
            <w:vAlign w:val="center"/>
          </w:tcPr>
          <w:p>
            <w:pPr>
              <w:pStyle w:val="23"/>
            </w:pPr>
            <w:r>
              <w:t>7.00</w:t>
            </w:r>
          </w:p>
        </w:tc>
        <w:tc>
          <w:tcPr>
            <w:tcW w:w="2551" w:type="dxa"/>
            <w:vAlign w:val="center"/>
          </w:tcPr>
          <w:p>
            <w:pPr>
              <w:pStyle w:val="23"/>
            </w:pPr>
            <w:r>
              <w:t>26.88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635.62</w:t>
            </w:r>
          </w:p>
        </w:tc>
        <w:tc>
          <w:tcPr>
            <w:tcW w:w="2551" w:type="dxa"/>
            <w:vAlign w:val="center"/>
          </w:tcPr>
          <w:p>
            <w:pPr>
              <w:pStyle w:val="23"/>
            </w:pPr>
            <w:r>
              <w:t>528.23</w:t>
            </w:r>
          </w:p>
        </w:tc>
        <w:tc>
          <w:tcPr>
            <w:tcW w:w="2551" w:type="dxa"/>
            <w:vAlign w:val="center"/>
          </w:tcPr>
          <w:p>
            <w:pPr>
              <w:pStyle w:val="23"/>
            </w:pPr>
            <w:r>
              <w:t>107.39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535.23</w:t>
            </w:r>
          </w:p>
        </w:tc>
        <w:tc>
          <w:tcPr>
            <w:tcW w:w="2551" w:type="dxa"/>
            <w:vAlign w:val="center"/>
          </w:tcPr>
          <w:p>
            <w:pPr>
              <w:pStyle w:val="27"/>
            </w:pPr>
            <w:r>
              <w:t>520.41</w:t>
            </w:r>
          </w:p>
        </w:tc>
        <w:tc>
          <w:tcPr>
            <w:tcW w:w="2551" w:type="dxa"/>
            <w:vAlign w:val="center"/>
          </w:tcPr>
          <w:p>
            <w:pPr>
              <w:pStyle w:val="27"/>
            </w:pPr>
            <w:r>
              <w:t>14.82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466.88</w:t>
            </w:r>
          </w:p>
        </w:tc>
        <w:tc>
          <w:tcPr>
            <w:tcW w:w="2551" w:type="dxa"/>
            <w:vAlign w:val="center"/>
          </w:tcPr>
          <w:p>
            <w:pPr>
              <w:pStyle w:val="23"/>
            </w:pPr>
            <w:r>
              <w:t>466.88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96.91</w:t>
            </w:r>
          </w:p>
        </w:tc>
        <w:tc>
          <w:tcPr>
            <w:tcW w:w="2551" w:type="dxa"/>
            <w:vAlign w:val="center"/>
          </w:tcPr>
          <w:p>
            <w:pPr>
              <w:pStyle w:val="23"/>
            </w:pPr>
            <w:r>
              <w:t>96.91</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26.96</w:t>
            </w:r>
          </w:p>
        </w:tc>
        <w:tc>
          <w:tcPr>
            <w:tcW w:w="2551" w:type="dxa"/>
            <w:vAlign w:val="center"/>
          </w:tcPr>
          <w:p>
            <w:pPr>
              <w:pStyle w:val="23"/>
            </w:pPr>
            <w:r>
              <w:t>26.96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138.42</w:t>
            </w:r>
          </w:p>
        </w:tc>
        <w:tc>
          <w:tcPr>
            <w:tcW w:w="2551" w:type="dxa"/>
            <w:vAlign w:val="center"/>
          </w:tcPr>
          <w:p>
            <w:pPr>
              <w:pStyle w:val="23"/>
            </w:pPr>
            <w:r>
              <w:t>138.42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27.92</w:t>
            </w:r>
          </w:p>
        </w:tc>
        <w:tc>
          <w:tcPr>
            <w:tcW w:w="2551" w:type="dxa"/>
            <w:vAlign w:val="center"/>
          </w:tcPr>
          <w:p>
            <w:pPr>
              <w:pStyle w:val="23"/>
            </w:pPr>
            <w:r>
              <w:t>27.92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10.66</w:t>
            </w:r>
          </w:p>
        </w:tc>
        <w:tc>
          <w:tcPr>
            <w:tcW w:w="2551" w:type="dxa"/>
            <w:vAlign w:val="center"/>
          </w:tcPr>
          <w:p>
            <w:pPr>
              <w:pStyle w:val="23"/>
            </w:pPr>
            <w:r>
              <w:t>10.66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2.46</w:t>
            </w:r>
          </w:p>
        </w:tc>
        <w:tc>
          <w:tcPr>
            <w:tcW w:w="2551" w:type="dxa"/>
            <w:vAlign w:val="center"/>
          </w:tcPr>
          <w:p>
            <w:pPr>
              <w:pStyle w:val="23"/>
            </w:pPr>
            <w:r>
              <w:t>2.46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20.94</w:t>
            </w:r>
          </w:p>
        </w:tc>
        <w:tc>
          <w:tcPr>
            <w:tcW w:w="2551" w:type="dxa"/>
            <w:vAlign w:val="center"/>
          </w:tcPr>
          <w:p>
            <w:pPr>
              <w:pStyle w:val="23"/>
            </w:pPr>
            <w:r>
              <w:t>20.94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142.61</w:t>
            </w:r>
          </w:p>
        </w:tc>
        <w:tc>
          <w:tcPr>
            <w:tcW w:w="2551" w:type="dxa"/>
            <w:vAlign w:val="center"/>
          </w:tcPr>
          <w:p>
            <w:pPr>
              <w:pStyle w:val="23"/>
            </w:pPr>
            <w:r>
              <w:t>142.61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14.82</w:t>
            </w:r>
          </w:p>
        </w:tc>
        <w:tc>
          <w:tcPr>
            <w:tcW w:w="2551" w:type="dxa"/>
            <w:vAlign w:val="center"/>
          </w:tcPr>
          <w:p>
            <w:pPr>
              <w:pStyle w:val="23"/>
            </w:pPr>
          </w:p>
        </w:tc>
        <w:tc>
          <w:tcPr>
            <w:tcW w:w="2551" w:type="dxa"/>
            <w:vAlign w:val="center"/>
          </w:tcPr>
          <w:p>
            <w:pPr>
              <w:pStyle w:val="23"/>
            </w:pPr>
            <w:r>
              <w:t>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7.00</w:t>
            </w:r>
          </w:p>
        </w:tc>
        <w:tc>
          <w:tcPr>
            <w:tcW w:w="2551" w:type="dxa"/>
            <w:vAlign w:val="center"/>
          </w:tcPr>
          <w:p>
            <w:pPr>
              <w:pStyle w:val="23"/>
            </w:pPr>
          </w:p>
        </w:tc>
        <w:tc>
          <w:tcPr>
            <w:tcW w:w="2551" w:type="dxa"/>
            <w:vAlign w:val="center"/>
          </w:tcPr>
          <w:p>
            <w:pPr>
              <w:pStyle w:val="2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4.77</w:t>
            </w:r>
          </w:p>
        </w:tc>
        <w:tc>
          <w:tcPr>
            <w:tcW w:w="2551" w:type="dxa"/>
            <w:vAlign w:val="center"/>
          </w:tcPr>
          <w:p>
            <w:pPr>
              <w:pStyle w:val="23"/>
            </w:pPr>
          </w:p>
        </w:tc>
        <w:tc>
          <w:tcPr>
            <w:tcW w:w="2551" w:type="dxa"/>
            <w:vAlign w:val="center"/>
          </w:tcPr>
          <w:p>
            <w:pPr>
              <w:pStyle w:val="23"/>
            </w:pPr>
            <w:r>
              <w:t>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3.05</w:t>
            </w:r>
          </w:p>
        </w:tc>
        <w:tc>
          <w:tcPr>
            <w:tcW w:w="2551" w:type="dxa"/>
            <w:vAlign w:val="center"/>
          </w:tcPr>
          <w:p>
            <w:pPr>
              <w:pStyle w:val="23"/>
            </w:pPr>
          </w:p>
        </w:tc>
        <w:tc>
          <w:tcPr>
            <w:tcW w:w="2551" w:type="dxa"/>
            <w:vAlign w:val="center"/>
          </w:tcPr>
          <w:p>
            <w:pPr>
              <w:pStyle w:val="23"/>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53.53</w:t>
            </w:r>
          </w:p>
        </w:tc>
        <w:tc>
          <w:tcPr>
            <w:tcW w:w="2551" w:type="dxa"/>
            <w:vAlign w:val="center"/>
          </w:tcPr>
          <w:p>
            <w:pPr>
              <w:pStyle w:val="23"/>
            </w:pPr>
            <w:r>
              <w:t>53.53</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32.95</w:t>
            </w:r>
          </w:p>
        </w:tc>
        <w:tc>
          <w:tcPr>
            <w:tcW w:w="2551" w:type="dxa"/>
            <w:vAlign w:val="center"/>
          </w:tcPr>
          <w:p>
            <w:pPr>
              <w:pStyle w:val="23"/>
            </w:pPr>
            <w:r>
              <w:t>32.95</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20.55</w:t>
            </w:r>
          </w:p>
        </w:tc>
        <w:tc>
          <w:tcPr>
            <w:tcW w:w="2551" w:type="dxa"/>
            <w:vAlign w:val="center"/>
          </w:tcPr>
          <w:p>
            <w:pPr>
              <w:pStyle w:val="23"/>
            </w:pPr>
            <w:r>
              <w:t>20.55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0.03</w:t>
            </w:r>
          </w:p>
        </w:tc>
        <w:tc>
          <w:tcPr>
            <w:tcW w:w="2551" w:type="dxa"/>
            <w:vAlign w:val="center"/>
          </w:tcPr>
          <w:p>
            <w:pPr>
              <w:pStyle w:val="23"/>
            </w:pPr>
            <w:r>
              <w:t>0.03</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rPr>
                <w:lang w:eastAsia="zh-CN"/>
              </w:rPr>
            </w:pPr>
            <w:r>
              <w:rPr>
                <w:rFonts w:hint="eastAsia"/>
                <w:lang w:eastAsia="zh-CN"/>
              </w:rPr>
              <w:t>0</w:t>
            </w:r>
          </w:p>
        </w:tc>
        <w:tc>
          <w:tcPr>
            <w:tcW w:w="2381" w:type="dxa"/>
            <w:vAlign w:val="center"/>
          </w:tcPr>
          <w:p>
            <w:pPr>
              <w:pStyle w:val="27"/>
              <w:rPr>
                <w:lang w:eastAsia="zh-CN"/>
              </w:rPr>
            </w:pPr>
            <w:r>
              <w:rPr>
                <w:rFonts w:hint="eastAsia"/>
                <w:lang w:eastAsia="zh-CN"/>
              </w:rPr>
              <w:t>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2</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3</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4</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5</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6</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7</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8</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8" w:name="_GoBack"/>
      <w:bookmarkEnd w:id="8"/>
    </w:p>
    <w:p>
      <w:pPr>
        <w:jc w:val="center"/>
        <w:outlineLvl w:val="4"/>
      </w:pPr>
      <w:r>
        <w:rPr>
          <w:rFonts w:ascii="方正小标宋_GBK" w:hAnsi="方正小标宋_GBK" w:eastAsia="方正小标宋_GBK" w:cs="方正小标宋_GBK"/>
          <w:color w:val="000000"/>
          <w:sz w:val="44"/>
        </w:rPr>
        <w:t>霸州市王庄子乡王泊村完全小学2022年单位预算信息公开情况说明</w:t>
      </w:r>
    </w:p>
    <w:p>
      <w:pPr>
        <w:spacing w:line="500" w:lineRule="exact"/>
        <w:ind w:firstLine="560"/>
      </w:pPr>
      <w:bookmarkStart w:id="0" w:name="_Hlk97547956"/>
      <w:r>
        <w:rPr>
          <w:rFonts w:eastAsia="方正仿宋_GBK"/>
          <w:color w:val="000000"/>
          <w:sz w:val="28"/>
        </w:rPr>
        <w:t>按照《预算法》、《地方预决算公开操作规程》和《关于进一步推进预算公开工作的实施意见》规定，现将霸州市王庄子乡王泊村完全小学2022年单位预算公开如下：</w:t>
      </w:r>
    </w:p>
    <w:bookmarkEnd w:id="0"/>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eastAsia="方正仿宋_GBK"/>
          <w:color w:val="000000"/>
          <w:sz w:val="28"/>
        </w:rPr>
      </w:pPr>
      <w:r>
        <w:rPr>
          <w:rFonts w:hint="eastAsia" w:eastAsia="方正仿宋_GBK"/>
          <w:color w:val="000000"/>
          <w:sz w:val="28"/>
        </w:rPr>
        <w:t>实施小学义务教育，促进基础教育发展。小学学历教育</w:t>
      </w:r>
    </w:p>
    <w:p>
      <w:pPr>
        <w:pStyle w:val="3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霸州市王庄子乡王泊村完全小学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2年预算收入669.50万元，其中：一般公共预算收入669.50万元，政府性基金预算收入0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收支预算总表支出栏、基本支出表、项目支出表按经济分类和支出功能分类科目编制，反映霸州市王庄子乡王泊村完全小学20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2年本单位支出预算669.50万元，其中：基本支出535.23万元，</w:t>
      </w:r>
      <w:bookmarkStart w:id="1" w:name="_Hlk97547036"/>
      <w:r>
        <w:rPr>
          <w:rFonts w:hint="eastAsia" w:eastAsia="方正仿宋_GBK"/>
          <w:color w:val="000000"/>
          <w:sz w:val="28"/>
        </w:rPr>
        <w:t>包括：人员经费520.41</w:t>
      </w:r>
      <w:r>
        <w:rPr>
          <w:rFonts w:eastAsia="方正仿宋_GBK"/>
          <w:color w:val="000000"/>
          <w:sz w:val="28"/>
        </w:rPr>
        <w:t>万元</w:t>
      </w:r>
      <w:bookmarkStart w:id="2" w:name="_Hlk97548243"/>
      <w:r>
        <w:rPr>
          <w:rFonts w:hint="eastAsia" w:eastAsia="方正仿宋_GBK"/>
          <w:color w:val="000000"/>
          <w:sz w:val="28"/>
        </w:rPr>
        <w:t>和日常公用经费14.82</w:t>
      </w:r>
      <w:r>
        <w:rPr>
          <w:rFonts w:eastAsia="方正仿宋_GBK"/>
          <w:color w:val="000000"/>
          <w:sz w:val="28"/>
        </w:rPr>
        <w:t>万元</w:t>
      </w:r>
      <w:r>
        <w:rPr>
          <w:rFonts w:hint="eastAsia" w:eastAsia="方正仿宋_GBK"/>
          <w:color w:val="000000"/>
          <w:sz w:val="28"/>
        </w:rPr>
        <w:t>；项目支出134.27万元，主要为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等。</w:t>
      </w:r>
      <w:bookmarkEnd w:id="2"/>
    </w:p>
    <w:bookmarkEnd w:id="1"/>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560" w:firstLineChars="200"/>
        <w:rPr>
          <w:rFonts w:eastAsia="方正仿宋_GBK"/>
          <w:color w:val="000000"/>
          <w:sz w:val="28"/>
        </w:rPr>
      </w:pPr>
      <w:bookmarkStart w:id="3" w:name="_Hlk97547124"/>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2年预算收支安排669.50万元，较2021预算增加102.98万元，其中：基本支出减少31.29万元，主要为减少人员经费支出；项目支出增加134.27万元，主要为增加</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33万元，</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15.59万元，</w:t>
      </w:r>
      <w:r>
        <w:rPr>
          <w:rFonts w:eastAsia="方正仿宋_GBK"/>
          <w:color w:val="000000"/>
          <w:sz w:val="28"/>
        </w:rPr>
        <w:t>城乡义务教育补助生均经费本级配套资金</w:t>
      </w:r>
      <w:r>
        <w:rPr>
          <w:rFonts w:hint="eastAsia" w:eastAsia="方正仿宋_GBK"/>
          <w:color w:val="000000"/>
          <w:sz w:val="28"/>
        </w:rPr>
        <w:t>1.25万元、</w:t>
      </w:r>
      <w:r>
        <w:rPr>
          <w:rFonts w:eastAsia="方正仿宋_GBK"/>
          <w:color w:val="000000"/>
          <w:sz w:val="28"/>
        </w:rPr>
        <w:t>学校校舍厕所改造项目工程资金</w:t>
      </w:r>
      <w:r>
        <w:rPr>
          <w:rFonts w:hint="eastAsia" w:eastAsia="方正仿宋_GBK"/>
          <w:color w:val="000000"/>
          <w:sz w:val="28"/>
        </w:rPr>
        <w:t>57.55万元等。</w:t>
      </w:r>
    </w:p>
    <w:bookmarkEnd w:id="3"/>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560" w:firstLineChars="200"/>
        <w:rPr>
          <w:rFonts w:eastAsia="方正仿宋_GBK"/>
          <w:color w:val="000000"/>
          <w:sz w:val="28"/>
        </w:rPr>
      </w:pPr>
      <w:bookmarkStart w:id="4" w:name="_Hlk97548479"/>
      <w:r>
        <w:rPr>
          <w:rFonts w:hint="eastAsia" w:eastAsia="方正仿宋_GBK"/>
          <w:color w:val="000000"/>
          <w:sz w:val="28"/>
        </w:rPr>
        <w:t>2022年，我单位运行经费共计安排14.82万元，主要用于办公费、工会经费、福利费等日常运行支出。</w:t>
      </w:r>
    </w:p>
    <w:bookmarkEnd w:id="4"/>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eastAsia="方正仿宋_GBK"/>
          <w:color w:val="000000"/>
          <w:sz w:val="28"/>
        </w:rPr>
      </w:pPr>
      <w:bookmarkStart w:id="5" w:name="_Hlk97547429"/>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0万元，其中：因公出国（境）费0万元；公务用车购置及运维费0万元（其中：公务用车购置费0万元，公务用车运行维护费0万元)；公务接待费0万元，较2021年“三公”经费减少0万元，</w:t>
      </w:r>
      <w:bookmarkStart w:id="6" w:name="_Hlk507422617"/>
      <w:r>
        <w:rPr>
          <w:rFonts w:hint="eastAsia" w:eastAsia="方正仿宋_GBK"/>
          <w:color w:val="000000"/>
          <w:sz w:val="28"/>
        </w:rPr>
        <w:t>与2021年持平，无增减变化。</w:t>
      </w:r>
      <w:bookmarkEnd w:id="6"/>
    </w:p>
    <w:bookmarkEnd w:id="5"/>
    <w:p>
      <w:pPr>
        <w:pStyle w:val="40"/>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≥678人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≥678人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≥678人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≥240人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≤26.88万元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199.46平方米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局部改善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2022年，霸州市王庄子乡王泊村完全小学安排政府采购预算0.00万元。具体内容见下表。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501562霸州市王庄子乡王泊村完全小学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霸州市王庄子乡王泊村完全小学上年末固定资产金额为</w:t>
      </w:r>
      <w:r>
        <w:rPr>
          <w:rFonts w:hint="eastAsia" w:asciiTheme="minorEastAsia" w:hAnsiTheme="minorEastAsia"/>
          <w:color w:val="000000"/>
          <w:sz w:val="28"/>
        </w:rPr>
        <w:t>1420.30</w:t>
      </w:r>
      <w:r>
        <w:rPr>
          <w:rFonts w:eastAsia="方正仿宋_GBK"/>
          <w:color w:val="000000"/>
          <w:sz w:val="28"/>
        </w:rPr>
        <w:t>万元（详见下表）。本年度拟购置固定资产总额为0.00万元，已按要求列入政府采购预算，详见政府采购预算表。</w:t>
      </w:r>
    </w:p>
    <w:tbl>
      <w:tblPr>
        <w:tblStyle w:val="1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bookmarkStart w:id="7" w:name="_Hlk97547732"/>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霸州市王庄子乡王泊村完全小学单位固定资产占用情况表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编制部门：501562霸州市王庄子乡王泊村完全小学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29770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1420.30</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7148.5</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1080.99</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2150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325</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29770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339.31</w:t>
            </w:r>
          </w:p>
        </w:tc>
      </w:tr>
      <w:bookmarkEnd w:id="7"/>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564DD"/>
    <w:rsid w:val="000930F2"/>
    <w:rsid w:val="002A032E"/>
    <w:rsid w:val="0039209E"/>
    <w:rsid w:val="003A6C2E"/>
    <w:rsid w:val="003D7AE5"/>
    <w:rsid w:val="0042662D"/>
    <w:rsid w:val="00436F56"/>
    <w:rsid w:val="004853D9"/>
    <w:rsid w:val="004B3A8E"/>
    <w:rsid w:val="006B499D"/>
    <w:rsid w:val="006C5CF4"/>
    <w:rsid w:val="00793763"/>
    <w:rsid w:val="007E2577"/>
    <w:rsid w:val="009050B9"/>
    <w:rsid w:val="009A7D34"/>
    <w:rsid w:val="00AF49AE"/>
    <w:rsid w:val="00BB4D68"/>
    <w:rsid w:val="00D9682D"/>
    <w:rsid w:val="00E33B76"/>
    <w:rsid w:val="00F00C94"/>
    <w:rsid w:val="00F01828"/>
    <w:rsid w:val="20E972EA"/>
    <w:rsid w:val="6329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360" w:after="360"/>
      <w:jc w:val="left"/>
    </w:pPr>
    <w:rPr>
      <w:rFonts w:eastAsiaTheme="minorHAnsi"/>
      <w:b/>
      <w:bCs/>
      <w:caps/>
      <w:sz w:val="22"/>
      <w:u w:val="single"/>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qFormat/>
    <w:uiPriority w:val="39"/>
    <w:pPr>
      <w:ind w:left="3360" w:leftChars="1600"/>
    </w:pPr>
  </w:style>
  <w:style w:type="table" w:styleId="14">
    <w:name w:val="Table Grid"/>
    <w:basedOn w:val="13"/>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7"/>
    <w:qFormat/>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1367</Words>
  <Characters>7792</Characters>
  <Lines>64</Lines>
  <Paragraphs>18</Paragraphs>
  <TotalTime>0</TotalTime>
  <ScaleCrop>false</ScaleCrop>
  <LinksUpToDate>false</LinksUpToDate>
  <CharactersWithSpaces>9141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77585A5096DA47CCAAE5D9200711134C</vt:lpwstr>
  </property>
</Properties>
</file>